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0" w:lineRule="atLeast"/>
        <w:rPr>
          <w:rFonts w:hint="eastAsia"/>
          <w:b/>
          <w:color w:val="auto"/>
          <w:kern w:val="0"/>
          <w:sz w:val="24"/>
          <w:szCs w:val="24"/>
        </w:rPr>
      </w:pPr>
      <w:r>
        <w:rPr>
          <w:rFonts w:hint="eastAsia"/>
          <w:b/>
          <w:color w:val="auto"/>
          <w:kern w:val="0"/>
          <w:sz w:val="24"/>
          <w:szCs w:val="24"/>
          <w:lang w:val="en-US" w:eastAsia="zh-CN"/>
        </w:rPr>
        <w:t>S</w:t>
      </w:r>
      <w:r>
        <w:rPr>
          <w:b/>
          <w:color w:val="auto"/>
          <w:kern w:val="0"/>
          <w:sz w:val="24"/>
          <w:szCs w:val="24"/>
        </w:rPr>
        <w:t xml:space="preserve">pecification </w:t>
      </w:r>
    </w:p>
    <w:p>
      <w:pPr>
        <w:rPr>
          <w:rFonts w:hint="eastAsia"/>
          <w:b/>
          <w:color w:val="auto"/>
          <w:kern w:val="0"/>
          <w:sz w:val="16"/>
          <w:szCs w:val="16"/>
        </w:rPr>
      </w:pPr>
    </w:p>
    <w:p>
      <w:pPr>
        <w:spacing w:line="0" w:lineRule="atLeast"/>
        <w:rPr>
          <w:rFonts w:hint="eastAsia"/>
          <w:b/>
          <w:color w:val="auto"/>
          <w:kern w:val="0"/>
          <w:sz w:val="22"/>
          <w:szCs w:val="22"/>
        </w:rPr>
      </w:pPr>
      <w:r>
        <w:rPr>
          <w:rFonts w:hint="eastAsia"/>
          <w:b/>
          <w:color w:val="auto"/>
          <w:kern w:val="0"/>
          <w:sz w:val="22"/>
          <w:szCs w:val="22"/>
          <w:lang w:val="en-US" w:eastAsia="zh-CN"/>
        </w:rPr>
        <w:t>1</w:t>
      </w:r>
      <w:r>
        <w:rPr>
          <w:b/>
          <w:color w:val="auto"/>
          <w:kern w:val="0"/>
          <w:sz w:val="22"/>
          <w:szCs w:val="22"/>
        </w:rPr>
        <w:t>●Electrical</w:t>
      </w:r>
      <w:r>
        <w:rPr>
          <w:rFonts w:hint="eastAsia"/>
          <w:b/>
          <w:color w:val="auto"/>
          <w:kern w:val="0"/>
          <w:sz w:val="22"/>
          <w:szCs w:val="22"/>
        </w:rPr>
        <w:t xml:space="preserve"> </w:t>
      </w:r>
      <w:r>
        <w:rPr>
          <w:b/>
          <w:color w:val="auto"/>
          <w:kern w:val="0"/>
          <w:sz w:val="22"/>
          <w:szCs w:val="22"/>
        </w:rPr>
        <w:t>performance</w:t>
      </w:r>
    </w:p>
    <w:tbl>
      <w:tblPr>
        <w:tblStyle w:val="2"/>
        <w:tblW w:w="6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8"/>
        <w:gridCol w:w="854"/>
        <w:gridCol w:w="712"/>
        <w:gridCol w:w="1123"/>
        <w:gridCol w:w="1123"/>
        <w:gridCol w:w="1"/>
        <w:gridCol w:w="1122"/>
        <w:gridCol w:w="1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Model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6K plus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6KS plus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10K plus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10KS plus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Rating</w:t>
            </w: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6KVA</w:t>
            </w:r>
            <w:r>
              <w:rPr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5.4K</w:t>
            </w:r>
            <w:r>
              <w:rPr>
                <w:color w:val="auto"/>
                <w:kern w:val="0"/>
                <w:sz w:val="18"/>
                <w:szCs w:val="18"/>
              </w:rPr>
              <w:t>W</w:t>
            </w: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10KVA/9KW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Input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Input system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Single phase &amp; earth 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Voltage range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color w:val="auto"/>
                <w:kern w:val="0"/>
                <w:sz w:val="18"/>
                <w:szCs w:val="18"/>
              </w:rPr>
              <w:t>0±5)VAC~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274</w:t>
            </w:r>
            <w:r>
              <w:rPr>
                <w:color w:val="auto"/>
                <w:kern w:val="0"/>
                <w:sz w:val="18"/>
                <w:szCs w:val="18"/>
              </w:rPr>
              <w:t>±5)VAC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Power factor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≥0.99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Voltage range of bypass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181" w:leftChars="86"/>
              <w:jc w:val="left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color w:val="auto"/>
                <w:kern w:val="0"/>
                <w:sz w:val="18"/>
                <w:szCs w:val="18"/>
              </w:rPr>
              <w:t>0±5)VAC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~ (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300</w:t>
            </w:r>
            <w:r>
              <w:rPr>
                <w:color w:val="auto"/>
                <w:kern w:val="0"/>
                <w:sz w:val="18"/>
                <w:szCs w:val="18"/>
              </w:rPr>
              <w:t>±5)VAC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 (</w:t>
            </w:r>
            <w:r>
              <w:rPr>
                <w:color w:val="auto"/>
                <w:kern w:val="0"/>
                <w:sz w:val="18"/>
                <w:szCs w:val="18"/>
              </w:rPr>
              <w:t>default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: </w:t>
            </w:r>
            <w:r>
              <w:rPr>
                <w:color w:val="auto"/>
                <w:kern w:val="0"/>
                <w:sz w:val="18"/>
                <w:szCs w:val="18"/>
              </w:rPr>
              <w:t>80VAC~264VAC Could be adjusted by software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Output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Output system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Single phase &amp; earth 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 xml:space="preserve">220VAC  </w:t>
            </w:r>
            <w:r>
              <w:rPr>
                <w:color w:val="auto"/>
                <w:kern w:val="0"/>
                <w:sz w:val="18"/>
                <w:szCs w:val="18"/>
                <w:vertAlign w:val="superscript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Power factor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Voltage precision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Output frequency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Normal mode</w:t>
            </w:r>
          </w:p>
        </w:tc>
        <w:tc>
          <w:tcPr>
            <w:tcW w:w="4494" w:type="dxa"/>
            <w:gridSpan w:val="6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33" w:leftChars="25" w:hanging="180" w:hangingChars="100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 xml:space="preserve">1.The output frequency synchronizes with the input frequency when the input frequency is in the range of 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46 Hz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~ </w:t>
            </w:r>
            <w:r>
              <w:rPr>
                <w:color w:val="auto"/>
                <w:kern w:val="0"/>
                <w:sz w:val="18"/>
                <w:szCs w:val="18"/>
              </w:rPr>
              <w:t>54 Hz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33" w:leftChars="25" w:hanging="180" w:hangingChars="100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2.The output frequency is 50Hz when the input frequency is not in the range of 46 Hz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~ </w:t>
            </w:r>
            <w:r>
              <w:rPr>
                <w:color w:val="auto"/>
                <w:kern w:val="0"/>
                <w:sz w:val="18"/>
                <w:szCs w:val="18"/>
              </w:rPr>
              <w:t>54 Hz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3.</w:t>
            </w:r>
            <w:r>
              <w:rPr>
                <w:bCs/>
                <w:color w:val="auto"/>
                <w:kern w:val="0"/>
                <w:sz w:val="18"/>
                <w:szCs w:val="18"/>
              </w:rPr>
              <w:t>Can be set as 60Hz</w:t>
            </w:r>
            <w:r>
              <w:rPr>
                <w:rFonts w:hint="eastAsia"/>
                <w:bCs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Battery mode</w:t>
            </w:r>
          </w:p>
        </w:tc>
        <w:tc>
          <w:tcPr>
            <w:tcW w:w="4494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33" w:leftChars="25" w:hanging="180" w:hangingChars="100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Inverter overload capacity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 (</w:t>
            </w:r>
            <w:r>
              <w:rPr>
                <w:color w:val="auto"/>
                <w:kern w:val="0"/>
                <w:sz w:val="18"/>
                <w:szCs w:val="18"/>
              </w:rPr>
              <w:t>Utility power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, </w:t>
            </w:r>
            <w:r>
              <w:rPr>
                <w:color w:val="auto"/>
                <w:kern w:val="0"/>
                <w:sz w:val="18"/>
                <w:szCs w:val="18"/>
              </w:rPr>
              <w:t>25℃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105%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±5%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&lt;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Load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125%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 xml:space="preserve">5% 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color w:val="auto"/>
                <w:kern w:val="0"/>
                <w:sz w:val="18"/>
                <w:szCs w:val="18"/>
              </w:rPr>
              <w:t>0s transfer to bypass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125%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±5%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&lt; Load &lt;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%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5%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30</w:t>
            </w:r>
            <w:r>
              <w:rPr>
                <w:color w:val="auto"/>
                <w:kern w:val="0"/>
                <w:sz w:val="18"/>
                <w:szCs w:val="18"/>
              </w:rPr>
              <w:t>s transfer to bypass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Load &gt; 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%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5%,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1</w:t>
            </w:r>
            <w:r>
              <w:rPr>
                <w:color w:val="auto"/>
                <w:kern w:val="0"/>
                <w:sz w:val="18"/>
                <w:szCs w:val="18"/>
              </w:rPr>
              <w:t>00ms transfer to bypass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Transfer time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 xml:space="preserve">0ms 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color w:val="auto"/>
                <w:kern w:val="0"/>
                <w:sz w:val="18"/>
                <w:szCs w:val="18"/>
              </w:rPr>
              <w:t>Normal mode←→ Battery mode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&lt;4ms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 (</w:t>
            </w:r>
            <w:r>
              <w:rPr>
                <w:color w:val="auto"/>
                <w:kern w:val="0"/>
                <w:sz w:val="18"/>
                <w:szCs w:val="18"/>
              </w:rPr>
              <w:t>Normal mode←→Bypass mode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Crest factor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Battery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Batteries voltage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192</w:t>
            </w:r>
            <w:r>
              <w:rPr>
                <w:color w:val="auto"/>
                <w:kern w:val="0"/>
                <w:sz w:val="18"/>
                <w:szCs w:val="18"/>
              </w:rPr>
              <w:t>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 xml:space="preserve">Battery 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q</w:t>
            </w:r>
            <w:r>
              <w:rPr>
                <w:color w:val="auto"/>
                <w:kern w:val="0"/>
                <w:sz w:val="18"/>
                <w:szCs w:val="18"/>
              </w:rPr>
              <w:t>uantity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None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Battery Type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13" w:lineRule="exact"/>
              <w:ind w:left="53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Sealed maintenance-free lead –acid battery of battery voltage 12V/7AH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Backup Time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 (</w:t>
            </w:r>
            <w:r>
              <w:rPr>
                <w:color w:val="auto"/>
                <w:kern w:val="0"/>
                <w:sz w:val="18"/>
                <w:szCs w:val="18"/>
              </w:rPr>
              <w:t>25℃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44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Full load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5min (Standard)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Charge current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1A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.5</w:t>
            </w:r>
            <w:r>
              <w:rPr>
                <w:color w:val="auto"/>
                <w:kern w:val="0"/>
                <w:sz w:val="18"/>
                <w:szCs w:val="18"/>
              </w:rPr>
              <w:t>A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1A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.5</w:t>
            </w:r>
            <w:r>
              <w:rPr>
                <w:color w:val="auto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2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Dimensions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L</w:t>
            </w:r>
            <w:r>
              <w:rPr>
                <w:color w:val="auto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W</w:t>
            </w:r>
            <w:r>
              <w:rPr>
                <w:color w:val="auto"/>
                <w:kern w:val="0"/>
                <w:sz w:val="18"/>
                <w:szCs w:val="18"/>
              </w:rPr>
              <w:t>*H)mm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533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260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560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425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190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x3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533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260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560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533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260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5</w:t>
            </w: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2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Weight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18"/>
                <w:szCs w:val="18"/>
              </w:rPr>
              <w:t>(kg)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12.5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bookmarkStart w:id="0" w:name="_GoBack"/>
            <w:bookmarkEnd w:id="0"/>
          </w:p>
        </w:tc>
      </w:tr>
    </w:tbl>
    <w:p>
      <w:pPr>
        <w:spacing w:line="0" w:lineRule="atLeast"/>
        <w:ind w:right="360"/>
        <w:rPr>
          <w:b/>
          <w:color w:val="auto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hint="eastAsia"/>
          <w:color w:val="auto"/>
          <w:kern w:val="0"/>
          <w:szCs w:val="21"/>
        </w:rPr>
      </w:pPr>
      <w:r>
        <w:rPr>
          <w:rFonts w:cs="Arial"/>
          <w:color w:val="auto"/>
          <w:kern w:val="0"/>
          <w:szCs w:val="21"/>
          <w:vertAlign w:val="superscript"/>
        </w:rPr>
        <w:t>①</w:t>
      </w:r>
      <w:r>
        <w:rPr>
          <w:rFonts w:hint="eastAsia" w:cs="Arial"/>
          <w:color w:val="auto"/>
          <w:kern w:val="0"/>
          <w:szCs w:val="21"/>
          <w:vertAlign w:val="superscript"/>
        </w:rPr>
        <w:t xml:space="preserve"> </w:t>
      </w:r>
      <w:r>
        <w:rPr>
          <w:color w:val="auto"/>
          <w:kern w:val="0"/>
          <w:szCs w:val="21"/>
        </w:rPr>
        <w:t>Note1: Output voltage can be set: 200V/208V/220V/230V/240V.</w:t>
      </w:r>
    </w:p>
    <w:p>
      <w:pPr>
        <w:spacing w:line="0" w:lineRule="atLeast"/>
        <w:ind w:right="360"/>
        <w:rPr>
          <w:b/>
          <w:color w:val="auto"/>
          <w:kern w:val="0"/>
          <w:sz w:val="22"/>
          <w:szCs w:val="22"/>
        </w:rPr>
      </w:pPr>
    </w:p>
    <w:p>
      <w:pPr>
        <w:adjustRightInd w:val="0"/>
        <w:snapToGrid w:val="0"/>
        <w:spacing w:line="0" w:lineRule="atLeast"/>
        <w:rPr>
          <w:rFonts w:hint="eastAsia"/>
          <w:color w:val="auto"/>
          <w:kern w:val="0"/>
          <w:sz w:val="18"/>
          <w:szCs w:val="18"/>
        </w:rPr>
      </w:pPr>
    </w:p>
    <w:p>
      <w:pPr>
        <w:spacing w:line="0" w:lineRule="atLeast"/>
        <w:ind w:right="360"/>
        <w:rPr>
          <w:rFonts w:hint="eastAsia"/>
          <w:b/>
          <w:color w:val="auto"/>
          <w:kern w:val="0"/>
          <w:sz w:val="22"/>
          <w:szCs w:val="22"/>
        </w:rPr>
      </w:pPr>
      <w:r>
        <w:rPr>
          <w:rFonts w:hint="eastAsia"/>
          <w:b/>
          <w:color w:val="auto"/>
          <w:kern w:val="0"/>
          <w:sz w:val="22"/>
          <w:szCs w:val="22"/>
          <w:lang w:val="en-US" w:eastAsia="zh-CN"/>
        </w:rPr>
        <w:t>2</w:t>
      </w:r>
      <w:r>
        <w:rPr>
          <w:b/>
          <w:color w:val="auto"/>
          <w:kern w:val="0"/>
          <w:sz w:val="22"/>
          <w:szCs w:val="22"/>
        </w:rPr>
        <w:t>●Operating environment</w:t>
      </w:r>
    </w:p>
    <w:p>
      <w:pPr>
        <w:rPr>
          <w:rFonts w:hint="eastAsia"/>
          <w:b/>
          <w:color w:val="auto"/>
          <w:kern w:val="0"/>
          <w:sz w:val="18"/>
          <w:szCs w:val="18"/>
        </w:rPr>
      </w:pPr>
    </w:p>
    <w:p>
      <w:pPr>
        <w:ind w:right="360"/>
        <w:rPr>
          <w:rFonts w:hint="eastAsia"/>
          <w:b/>
          <w:color w:val="auto"/>
          <w:kern w:val="0"/>
          <w:sz w:val="4"/>
          <w:szCs w:val="4"/>
        </w:rPr>
      </w:pPr>
    </w:p>
    <w:tbl>
      <w:tblPr>
        <w:tblStyle w:val="2"/>
        <w:tblW w:w="6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81"/>
        <w:gridCol w:w="166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Temperature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Humidity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Altitude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Storage temperature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0℃-40℃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&lt;95%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&lt;1000m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0℃-40℃</w:t>
            </w:r>
          </w:p>
        </w:tc>
      </w:tr>
    </w:tbl>
    <w:p>
      <w:pPr>
        <w:ind w:right="360" w:firstLine="90" w:firstLineChars="50"/>
        <w:rPr>
          <w:rFonts w:hint="eastAsia"/>
          <w:color w:val="auto"/>
          <w:sz w:val="18"/>
          <w:szCs w:val="18"/>
        </w:rPr>
      </w:pPr>
    </w:p>
    <w:p>
      <w:pPr>
        <w:autoSpaceDE w:val="0"/>
        <w:autoSpaceDN w:val="0"/>
        <w:adjustRightInd w:val="0"/>
        <w:spacing w:line="0" w:lineRule="atLeast"/>
        <w:ind w:left="634" w:leftChars="52" w:hanging="525" w:hangingChars="250"/>
        <w:rPr>
          <w:rFonts w:hint="eastAsia"/>
          <w:i/>
          <w:color w:val="auto"/>
          <w:kern w:val="0"/>
          <w:szCs w:val="21"/>
        </w:rPr>
      </w:pPr>
      <w:r>
        <w:rPr>
          <w:i/>
          <w:color w:val="auto"/>
          <w:kern w:val="0"/>
          <w:szCs w:val="21"/>
        </w:rPr>
        <w:t>Note: If the UPS is installed or used in a place where the altitude is above than 1000m, the</w:t>
      </w:r>
      <w:r>
        <w:rPr>
          <w:rFonts w:hint="eastAsia"/>
          <w:i/>
          <w:color w:val="auto"/>
          <w:kern w:val="0"/>
          <w:szCs w:val="21"/>
        </w:rPr>
        <w:t xml:space="preserve"> </w:t>
      </w:r>
      <w:r>
        <w:rPr>
          <w:i/>
          <w:color w:val="auto"/>
          <w:kern w:val="0"/>
          <w:szCs w:val="21"/>
        </w:rPr>
        <w:t>output power must be de</w:t>
      </w:r>
      <w:r>
        <w:rPr>
          <w:rFonts w:hint="eastAsia"/>
          <w:i/>
          <w:color w:val="auto"/>
          <w:kern w:val="0"/>
          <w:szCs w:val="21"/>
        </w:rPr>
        <w:t>crease</w:t>
      </w:r>
      <w:r>
        <w:rPr>
          <w:rFonts w:hint="eastAsia"/>
          <w:i/>
          <w:color w:val="auto"/>
          <w:kern w:val="0"/>
          <w:szCs w:val="21"/>
          <w:lang w:val="en-US" w:eastAsia="zh-CN"/>
        </w:rPr>
        <w:t>d</w:t>
      </w:r>
      <w:r>
        <w:rPr>
          <w:i/>
          <w:color w:val="auto"/>
          <w:kern w:val="0"/>
          <w:szCs w:val="21"/>
        </w:rPr>
        <w:t xml:space="preserve"> in use, please refer to the following:</w:t>
      </w:r>
    </w:p>
    <w:p>
      <w:pPr>
        <w:autoSpaceDE w:val="0"/>
        <w:autoSpaceDN w:val="0"/>
        <w:adjustRightInd w:val="0"/>
        <w:spacing w:line="0" w:lineRule="atLeast"/>
        <w:ind w:left="559" w:leftChars="52" w:hanging="450" w:hangingChars="250"/>
        <w:rPr>
          <w:rFonts w:hint="eastAsia"/>
          <w:i/>
          <w:color w:val="auto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0" w:lineRule="atLeast"/>
        <w:ind w:left="209" w:leftChars="52" w:hanging="100" w:hangingChars="250"/>
        <w:rPr>
          <w:rFonts w:hint="eastAsia"/>
          <w:i/>
          <w:color w:val="auto"/>
          <w:kern w:val="0"/>
          <w:sz w:val="4"/>
          <w:szCs w:val="4"/>
        </w:rPr>
      </w:pPr>
    </w:p>
    <w:tbl>
      <w:tblPr>
        <w:tblStyle w:val="2"/>
        <w:tblW w:w="6677" w:type="dxa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4"/>
        <w:gridCol w:w="598"/>
        <w:gridCol w:w="597"/>
        <w:gridCol w:w="597"/>
        <w:gridCol w:w="597"/>
        <w:gridCol w:w="597"/>
        <w:gridCol w:w="597"/>
        <w:gridCol w:w="597"/>
        <w:gridCol w:w="606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Altitude(M)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3000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3500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4500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Load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100%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95%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91%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86%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82%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78%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74%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70%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12691"/>
    <w:rsid w:val="0CD21137"/>
    <w:rsid w:val="0EA17870"/>
    <w:rsid w:val="232F3279"/>
    <w:rsid w:val="35DD2A2C"/>
    <w:rsid w:val="51E4669F"/>
    <w:rsid w:val="5E6638F6"/>
    <w:rsid w:val="69012691"/>
    <w:rsid w:val="6CF61084"/>
    <w:rsid w:val="705C3093"/>
    <w:rsid w:val="708459BB"/>
    <w:rsid w:val="7A4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2019-06-26T07:50:00Z</dcterms:created>
  <dc:creator>Administrator</dc:creator>
  <cp:lastModifiedBy>ATAups</cp:lastModifiedBy>
  <dcterms:modified xsi:type="dcterms:W3CDTF">2019-12-10T09:31:10Z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